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7E" w:rsidRDefault="008A13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jc w:val="center"/>
        <w:rPr>
          <w:color w:val="000000"/>
          <w:sz w:val="40"/>
          <w:szCs w:val="40"/>
        </w:rPr>
      </w:pPr>
      <w:r>
        <w:rPr>
          <w:rFonts w:ascii="Gungsuh" w:eastAsia="Gungsuh" w:hAnsi="Gungsuh" w:cs="Gungsuh"/>
          <w:b/>
          <w:color w:val="000000"/>
          <w:sz w:val="32"/>
          <w:szCs w:val="32"/>
        </w:rPr>
        <w:t>中國科技大學補助教師舉辦校內研習紀錄</w:t>
      </w:r>
    </w:p>
    <w:tbl>
      <w:tblPr>
        <w:tblStyle w:val="a6"/>
        <w:tblW w:w="9272" w:type="dxa"/>
        <w:tblInd w:w="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3091"/>
        <w:gridCol w:w="3091"/>
      </w:tblGrid>
      <w:tr w:rsidR="0077267E">
        <w:trPr>
          <w:cantSplit/>
          <w:trHeight w:val="457"/>
        </w:trPr>
        <w:tc>
          <w:tcPr>
            <w:tcW w:w="9272" w:type="dxa"/>
            <w:gridSpan w:val="3"/>
            <w:vAlign w:val="center"/>
          </w:tcPr>
          <w:p w:rsidR="0077267E" w:rsidRDefault="008A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PMingLiu" w:eastAsia="PMingLiu" w:hAnsi="PMingLiu" w:cs="PMingLiu"/>
                <w:color w:val="000000"/>
                <w:sz w:val="26"/>
                <w:szCs w:val="26"/>
              </w:rPr>
              <w:t>研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6"/>
                <w:szCs w:val="26"/>
              </w:rPr>
              <w:t xml:space="preserve">     習     紀     錄</w:t>
            </w:r>
          </w:p>
        </w:tc>
      </w:tr>
      <w:tr w:rsidR="0077267E" w:rsidTr="00DF3E3D">
        <w:trPr>
          <w:cantSplit/>
          <w:trHeight w:val="10847"/>
        </w:trPr>
        <w:tc>
          <w:tcPr>
            <w:tcW w:w="9272" w:type="dxa"/>
            <w:gridSpan w:val="3"/>
          </w:tcPr>
          <w:p w:rsidR="0077267E" w:rsidRPr="00345BD0" w:rsidRDefault="00B93C32" w:rsidP="00C4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 w:line="360" w:lineRule="auto"/>
              <w:ind w:firstLine="510"/>
              <w:rPr>
                <w:rFonts w:ascii="微軟正黑體" w:eastAsia="微軟正黑體" w:hAnsi="微軟正黑體" w:cs="PMingLiu"/>
                <w:color w:val="000000"/>
                <w:sz w:val="24"/>
                <w:szCs w:val="24"/>
              </w:rPr>
            </w:pP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通識教育中心於</w:t>
            </w:r>
            <w:proofErr w:type="gramStart"/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1</w:t>
            </w:r>
            <w:r w:rsidRPr="00345BD0">
              <w:rPr>
                <w:rFonts w:ascii="微軟正黑體" w:eastAsia="微軟正黑體" w:hAnsi="微軟正黑體" w:cs="PMingLiu"/>
                <w:color w:val="000000"/>
                <w:sz w:val="24"/>
                <w:szCs w:val="24"/>
              </w:rPr>
              <w:t>13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年5月1</w:t>
            </w:r>
            <w:r w:rsidRPr="00345BD0">
              <w:rPr>
                <w:rFonts w:ascii="微軟正黑體" w:eastAsia="微軟正黑體" w:hAnsi="微軟正黑體" w:cs="PMingLiu"/>
                <w:color w:val="000000"/>
                <w:sz w:val="24"/>
                <w:szCs w:val="24"/>
              </w:rPr>
              <w:t>7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日假格</w:t>
            </w:r>
            <w:proofErr w:type="gramEnd"/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7</w:t>
            </w:r>
            <w:r w:rsidRPr="00345BD0">
              <w:rPr>
                <w:rFonts w:ascii="微軟正黑體" w:eastAsia="微軟正黑體" w:hAnsi="微軟正黑體" w:cs="PMingLiu"/>
                <w:color w:val="000000"/>
                <w:sz w:val="24"/>
                <w:szCs w:val="24"/>
              </w:rPr>
              <w:t>07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電腦教室辦理</w:t>
            </w:r>
            <w:r w:rsidR="00FF24CF">
              <w:rPr>
                <w:rFonts w:ascii="新細明體" w:eastAsia="新細明體" w:hAnsi="新細明體" w:cs="PMingLiu" w:hint="eastAsia"/>
                <w:color w:val="000000"/>
                <w:sz w:val="24"/>
                <w:szCs w:val="24"/>
              </w:rPr>
              <w:t>「</w:t>
            </w:r>
            <w:r w:rsidRPr="00345BD0">
              <w:rPr>
                <w:rFonts w:ascii="微軟正黑體" w:eastAsia="微軟正黑體" w:hAnsi="微軟正黑體" w:cs="PMingLiu"/>
                <w:color w:val="000000"/>
                <w:sz w:val="24"/>
                <w:szCs w:val="24"/>
              </w:rPr>
              <w:t>AI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融入通識教育課程研習工作坊-</w:t>
            </w:r>
            <w:proofErr w:type="spellStart"/>
            <w:r w:rsidRPr="00345BD0">
              <w:rPr>
                <w:rFonts w:ascii="微軟正黑體" w:eastAsia="微軟正黑體" w:hAnsi="微軟正黑體" w:cs="PMingLiu"/>
                <w:color w:val="000000"/>
                <w:sz w:val="24"/>
                <w:szCs w:val="24"/>
              </w:rPr>
              <w:t>ChatGPT</w:t>
            </w:r>
            <w:proofErr w:type="spellEnd"/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運用於教學</w:t>
            </w:r>
            <w:r w:rsidR="00FF24CF">
              <w:rPr>
                <w:rFonts w:ascii="新細明體" w:eastAsia="新細明體" w:hAnsi="新細明體" w:cs="PMingLiu" w:hint="eastAsia"/>
                <w:color w:val="000000"/>
                <w:sz w:val="24"/>
                <w:szCs w:val="24"/>
              </w:rPr>
              <w:t>」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，因為新興之科學，故興起了許多教師同仁</w:t>
            </w:r>
            <w:r w:rsidR="006C4161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報名</w:t>
            </w:r>
            <w:r w:rsidR="006C4161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的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興趣。</w:t>
            </w:r>
          </w:p>
          <w:p w:rsidR="00B93C32" w:rsidRPr="00345BD0" w:rsidRDefault="00B93C32" w:rsidP="00C4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10"/>
              <w:rPr>
                <w:rFonts w:ascii="微軟正黑體" w:eastAsia="微軟正黑體" w:hAnsi="微軟正黑體" w:cs="PMingLiu"/>
                <w:color w:val="000000"/>
                <w:sz w:val="24"/>
                <w:szCs w:val="24"/>
              </w:rPr>
            </w:pP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本場活動邀請資訊工程系廖廣仁助理教授進行專題演講，以</w:t>
            </w:r>
            <w:proofErr w:type="spellStart"/>
            <w:r w:rsidRPr="00345BD0">
              <w:rPr>
                <w:rFonts w:ascii="微軟正黑體" w:eastAsia="微軟正黑體" w:hAnsi="微軟正黑體" w:cs="PMingLiu"/>
                <w:color w:val="000000"/>
                <w:sz w:val="24"/>
                <w:szCs w:val="24"/>
              </w:rPr>
              <w:t>ChatGPT</w:t>
            </w:r>
            <w:proofErr w:type="spellEnd"/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為主題由淺而深介紹，令教師同仁對於此課題逐漸熟悉而不再陌生，並得以運用於課堂。</w:t>
            </w:r>
          </w:p>
          <w:p w:rsidR="00B93C32" w:rsidRPr="00345BD0" w:rsidRDefault="00B93C32" w:rsidP="00C4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10"/>
              <w:rPr>
                <w:rFonts w:ascii="微軟正黑體" w:eastAsia="微軟正黑體" w:hAnsi="微軟正黑體" w:cs="PMingLiu"/>
                <w:color w:val="000000"/>
                <w:sz w:val="24"/>
                <w:szCs w:val="24"/>
              </w:rPr>
            </w:pP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內容大綱包含</w:t>
            </w:r>
            <w:proofErr w:type="spellStart"/>
            <w:r w:rsidRPr="00345BD0">
              <w:rPr>
                <w:rFonts w:ascii="微軟正黑體" w:eastAsia="微軟正黑體" w:hAnsi="微軟正黑體" w:cs="PMingLiu"/>
                <w:color w:val="000000"/>
                <w:sz w:val="24"/>
                <w:szCs w:val="24"/>
              </w:rPr>
              <w:t>ChatGPT</w:t>
            </w:r>
            <w:proofErr w:type="spellEnd"/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能做的事情</w:t>
            </w:r>
            <w:r w:rsidR="00481662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、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不能做的事情</w:t>
            </w:r>
            <w:r w:rsidR="00481662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、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基本指令</w:t>
            </w:r>
            <w:r w:rsidR="00481662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、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如何完善問答主題</w:t>
            </w:r>
            <w:r w:rsidR="00481662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、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聊天提示</w:t>
            </w:r>
            <w:r w:rsidR="00481662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、</w:t>
            </w:r>
            <w:r w:rsidRPr="00345BD0">
              <w:rPr>
                <w:rFonts w:ascii="微軟正黑體" w:eastAsia="微軟正黑體" w:hAnsi="微軟正黑體" w:cs="PMingLiu"/>
                <w:color w:val="000000"/>
                <w:sz w:val="24"/>
                <w:szCs w:val="24"/>
              </w:rPr>
              <w:t xml:space="preserve"> 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提示</w:t>
            </w:r>
            <w:proofErr w:type="gramStart"/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三</w:t>
            </w:r>
            <w:proofErr w:type="gramEnd"/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要素</w:t>
            </w:r>
            <w:r w:rsidR="00481662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、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最佳化問題</w:t>
            </w:r>
            <w:r w:rsidR="00481662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、</w:t>
            </w:r>
            <w:r w:rsidR="00481662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角色扮演提高提示效率</w:t>
            </w:r>
            <w:r w:rsidR="00481662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、</w:t>
            </w:r>
            <w:r w:rsidR="00481662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在英語中的應用</w:t>
            </w:r>
            <w:r w:rsidR="00481662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、</w:t>
            </w:r>
            <w:r w:rsidR="00481662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教學實踐等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 xml:space="preserve">。 </w:t>
            </w:r>
          </w:p>
          <w:p w:rsidR="006C6236" w:rsidRPr="00345BD0" w:rsidRDefault="004115FA" w:rsidP="00C4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10"/>
              <w:rPr>
                <w:rFonts w:ascii="微軟正黑體" w:eastAsia="微軟正黑體" w:hAnsi="微軟正黑體" w:cs="PMingLiu"/>
                <w:color w:val="000000"/>
                <w:sz w:val="24"/>
                <w:szCs w:val="24"/>
              </w:rPr>
            </w:pPr>
            <w:proofErr w:type="spellStart"/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ChatGPT</w:t>
            </w:r>
            <w:proofErr w:type="spellEnd"/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能幫助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學生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學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習，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卻也提供學生</w:t>
            </w:r>
            <w:r w:rsidR="006C6236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便利的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作弊</w:t>
            </w:r>
            <w:r w:rsidR="006C6236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方式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，如</w:t>
            </w:r>
            <w:r w:rsidR="006C6236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讓</w:t>
            </w:r>
            <w:proofErr w:type="spellStart"/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ChatGPT</w:t>
            </w:r>
            <w:proofErr w:type="spellEnd"/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代寫</w:t>
            </w:r>
            <w:r w:rsidR="006C6236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報告等</w:t>
            </w:r>
            <w:r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，</w:t>
            </w:r>
            <w:r w:rsidR="006C6236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但A</w:t>
            </w:r>
            <w:r w:rsidR="006C6236" w:rsidRPr="00345BD0">
              <w:rPr>
                <w:rFonts w:ascii="微軟正黑體" w:eastAsia="微軟正黑體" w:hAnsi="微軟正黑體" w:cs="PMingLiu"/>
                <w:color w:val="000000"/>
                <w:sz w:val="24"/>
                <w:szCs w:val="24"/>
              </w:rPr>
              <w:t>I</w:t>
            </w:r>
            <w:r w:rsidR="006C6236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科技洪流為不可逆轉的趨勢，一味禁止並無濟於事，教師更應該接觸A</w:t>
            </w:r>
            <w:r w:rsidR="006C6236" w:rsidRPr="00345BD0">
              <w:rPr>
                <w:rFonts w:ascii="微軟正黑體" w:eastAsia="微軟正黑體" w:hAnsi="微軟正黑體" w:cs="PMingLiu"/>
                <w:color w:val="000000"/>
                <w:sz w:val="24"/>
                <w:szCs w:val="24"/>
              </w:rPr>
              <w:t>I</w:t>
            </w:r>
            <w:r w:rsidR="006C6236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 xml:space="preserve">，了解 </w:t>
            </w:r>
            <w:r w:rsidR="006C6236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A</w:t>
            </w:r>
            <w:r w:rsidR="006C6236" w:rsidRPr="00345BD0">
              <w:rPr>
                <w:rFonts w:ascii="微軟正黑體" w:eastAsia="微軟正黑體" w:hAnsi="微軟正黑體" w:cs="PMingLiu"/>
                <w:color w:val="000000"/>
                <w:sz w:val="24"/>
                <w:szCs w:val="24"/>
              </w:rPr>
              <w:t>I</w:t>
            </w:r>
            <w:r w:rsidR="006C6236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，進而善用</w:t>
            </w:r>
            <w:r w:rsidR="006C6236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A</w:t>
            </w:r>
            <w:r w:rsidR="006C6236" w:rsidRPr="00345BD0">
              <w:rPr>
                <w:rFonts w:ascii="微軟正黑體" w:eastAsia="微軟正黑體" w:hAnsi="微軟正黑體" w:cs="PMingLiu"/>
                <w:color w:val="000000"/>
                <w:sz w:val="24"/>
                <w:szCs w:val="24"/>
              </w:rPr>
              <w:t>I</w:t>
            </w:r>
            <w:r w:rsidR="006C6236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，</w:t>
            </w:r>
            <w:r w:rsidR="006C6236" w:rsidRPr="00345BD0">
              <w:rPr>
                <w:rFonts w:ascii="微軟正黑體" w:eastAsia="微軟正黑體" w:hAnsi="微軟正黑體" w:cs="PMingLiu"/>
                <w:color w:val="000000"/>
                <w:sz w:val="24"/>
                <w:szCs w:val="24"/>
              </w:rPr>
              <w:t xml:space="preserve"> </w:t>
            </w:r>
            <w:r w:rsidR="006C6236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讓</w:t>
            </w:r>
            <w:r w:rsidR="006C6236" w:rsidRPr="00345BD0">
              <w:rPr>
                <w:rFonts w:ascii="微軟正黑體" w:eastAsia="微軟正黑體" w:hAnsi="微軟正黑體" w:cs="PMingLiu"/>
                <w:color w:val="000000"/>
                <w:sz w:val="24"/>
                <w:szCs w:val="24"/>
              </w:rPr>
              <w:t>AI</w:t>
            </w:r>
            <w:r w:rsidR="006C6236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融入</w:t>
            </w:r>
            <w:r w:rsidR="006C6236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於</w:t>
            </w:r>
            <w:r w:rsidR="006C6236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課程</w:t>
            </w:r>
            <w:r w:rsidR="006C6236" w:rsidRPr="00345BD0">
              <w:rPr>
                <w:rFonts w:ascii="微軟正黑體" w:eastAsia="微軟正黑體" w:hAnsi="微軟正黑體" w:cs="PMingLiu" w:hint="eastAsia"/>
                <w:color w:val="000000"/>
                <w:sz w:val="24"/>
                <w:szCs w:val="24"/>
              </w:rPr>
              <w:t>教學。</w:t>
            </w:r>
          </w:p>
          <w:p w:rsidR="00191CC6" w:rsidRPr="00B93C32" w:rsidRDefault="00D5505D" w:rsidP="00C4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10"/>
              <w:rPr>
                <w:rFonts w:ascii="PMingLiu" w:hAnsi="PMingLiu" w:cs="PMingLiu" w:hint="eastAsia"/>
                <w:color w:val="000000"/>
                <w:sz w:val="24"/>
                <w:szCs w:val="24"/>
              </w:rPr>
            </w:pPr>
            <w:r w:rsidRPr="00C46802">
              <w:rPr>
                <w:rFonts w:ascii="微軟正黑體" w:eastAsia="微軟正黑體" w:hAnsi="微軟正黑體" w:cs="PMingLiu" w:hint="eastAsia"/>
                <w:sz w:val="24"/>
                <w:szCs w:val="24"/>
              </w:rPr>
              <w:t>聊天機器人</w:t>
            </w:r>
            <w:proofErr w:type="spellStart"/>
            <w:r w:rsidRPr="00C46802">
              <w:rPr>
                <w:rFonts w:ascii="微軟正黑體" w:eastAsia="微軟正黑體" w:hAnsi="微軟正黑體" w:cs="PMingLiu" w:hint="eastAsia"/>
                <w:sz w:val="24"/>
                <w:szCs w:val="24"/>
              </w:rPr>
              <w:t>ChatGPT</w:t>
            </w:r>
            <w:proofErr w:type="spellEnd"/>
            <w:r w:rsidRPr="00C46802">
              <w:rPr>
                <w:rFonts w:ascii="微軟正黑體" w:eastAsia="微軟正黑體" w:hAnsi="微軟正黑體" w:cs="PMingLiu" w:hint="eastAsia"/>
                <w:sz w:val="24"/>
                <w:szCs w:val="24"/>
              </w:rPr>
              <w:t>是一項重大技術</w:t>
            </w:r>
            <w:r w:rsidR="00345BD0" w:rsidRPr="00C46802">
              <w:rPr>
                <w:rFonts w:ascii="微軟正黑體" w:eastAsia="微軟正黑體" w:hAnsi="微軟正黑體" w:cs="PMingLiu" w:hint="eastAsia"/>
                <w:sz w:val="24"/>
                <w:szCs w:val="24"/>
              </w:rPr>
              <w:t>發明</w:t>
            </w:r>
            <w:r w:rsidRPr="00C46802">
              <w:rPr>
                <w:rFonts w:ascii="微軟正黑體" w:eastAsia="微軟正黑體" w:hAnsi="微軟正黑體" w:cs="PMingLiu" w:hint="eastAsia"/>
                <w:sz w:val="24"/>
                <w:szCs w:val="24"/>
              </w:rPr>
              <w:t>，這個</w:t>
            </w:r>
            <w:r w:rsidR="00345BD0" w:rsidRPr="00C46802">
              <w:rPr>
                <w:rFonts w:ascii="微軟正黑體" w:eastAsia="微軟正黑體" w:hAnsi="微軟正黑體" w:cs="PMingLiu" w:hint="eastAsia"/>
                <w:sz w:val="24"/>
                <w:szCs w:val="24"/>
              </w:rPr>
              <w:t>匯集並累積全世界智慧的</w:t>
            </w:r>
            <w:r w:rsidRPr="00C46802">
              <w:rPr>
                <w:rFonts w:ascii="微軟正黑體" w:eastAsia="微軟正黑體" w:hAnsi="微軟正黑體" w:cs="PMingLiu" w:hint="eastAsia"/>
                <w:sz w:val="24"/>
                <w:szCs w:val="24"/>
              </w:rPr>
              <w:t>「人工智能」</w:t>
            </w:r>
            <w:r w:rsidR="00345BD0" w:rsidRPr="00C46802">
              <w:rPr>
                <w:rFonts w:ascii="微軟正黑體" w:eastAsia="微軟正黑體" w:hAnsi="微軟正黑體" w:cs="PMingLiu" w:hint="eastAsia"/>
                <w:sz w:val="24"/>
                <w:szCs w:val="24"/>
              </w:rPr>
              <w:t>將日行千里，而人類在運用及享受此人工智能所帶來的便利及</w:t>
            </w:r>
            <w:r w:rsidR="00C46802" w:rsidRPr="00C46802">
              <w:rPr>
                <w:rFonts w:ascii="微軟正黑體" w:eastAsia="微軟正黑體" w:hAnsi="微軟正黑體" w:cs="PMingLiu" w:hint="eastAsia"/>
                <w:sz w:val="24"/>
                <w:szCs w:val="24"/>
              </w:rPr>
              <w:t>欣喜於</w:t>
            </w:r>
            <w:r w:rsidR="00345BD0" w:rsidRPr="00C46802">
              <w:rPr>
                <w:rFonts w:ascii="微軟正黑體" w:eastAsia="微軟正黑體" w:hAnsi="微軟正黑體" w:cs="PMingLiu" w:hint="eastAsia"/>
                <w:sz w:val="24"/>
                <w:szCs w:val="24"/>
              </w:rPr>
              <w:t>自身</w:t>
            </w:r>
            <w:r w:rsidR="00C46802" w:rsidRPr="00C46802">
              <w:rPr>
                <w:rFonts w:ascii="微軟正黑體" w:eastAsia="微軟正黑體" w:hAnsi="微軟正黑體" w:cs="PMingLiu" w:hint="eastAsia"/>
                <w:sz w:val="24"/>
                <w:szCs w:val="24"/>
              </w:rPr>
              <w:t>突破</w:t>
            </w:r>
            <w:r w:rsidR="00345BD0" w:rsidRPr="00C46802">
              <w:rPr>
                <w:rFonts w:ascii="微軟正黑體" w:eastAsia="微軟正黑體" w:hAnsi="微軟正黑體" w:cs="PMingLiu" w:hint="eastAsia"/>
                <w:sz w:val="24"/>
                <w:szCs w:val="24"/>
              </w:rPr>
              <w:t>極限</w:t>
            </w:r>
            <w:r w:rsidR="00C46802" w:rsidRPr="00C46802">
              <w:rPr>
                <w:rFonts w:ascii="微軟正黑體" w:eastAsia="微軟正黑體" w:hAnsi="微軟正黑體" w:cs="PMingLiu" w:hint="eastAsia"/>
                <w:sz w:val="24"/>
                <w:szCs w:val="24"/>
              </w:rPr>
              <w:t>取得更高成就時</w:t>
            </w:r>
            <w:r w:rsidR="00345BD0" w:rsidRPr="00C46802">
              <w:rPr>
                <w:rFonts w:ascii="微軟正黑體" w:eastAsia="微軟正黑體" w:hAnsi="微軟正黑體" w:cs="PMingLiu" w:hint="eastAsia"/>
                <w:sz w:val="24"/>
                <w:szCs w:val="24"/>
              </w:rPr>
              <w:t>， 更需謹慎思考人類是否會因此失去了生命的</w:t>
            </w:r>
            <w:r w:rsidR="00C46802" w:rsidRPr="00C46802">
              <w:rPr>
                <w:rFonts w:ascii="微軟正黑體" w:eastAsia="微軟正黑體" w:hAnsi="微軟正黑體" w:cs="PMingLiu" w:hint="eastAsia"/>
                <w:sz w:val="24"/>
                <w:szCs w:val="24"/>
              </w:rPr>
              <w:t>意義</w:t>
            </w:r>
            <w:r w:rsidR="00C46802" w:rsidRPr="00C46802">
              <w:rPr>
                <w:rFonts w:ascii="微軟正黑體" w:eastAsia="微軟正黑體" w:hAnsi="微軟正黑體" w:cs="PMingLiu" w:hint="eastAsia"/>
                <w:sz w:val="24"/>
                <w:szCs w:val="24"/>
              </w:rPr>
              <w:t>及</w:t>
            </w:r>
            <w:r w:rsidR="00345BD0" w:rsidRPr="00C46802">
              <w:rPr>
                <w:rFonts w:ascii="微軟正黑體" w:eastAsia="微軟正黑體" w:hAnsi="微軟正黑體" w:cs="PMingLiu" w:hint="eastAsia"/>
                <w:sz w:val="24"/>
                <w:szCs w:val="24"/>
              </w:rPr>
              <w:t>目的，而現今政府是否有能力</w:t>
            </w:r>
            <w:r w:rsidR="00345BD0" w:rsidRPr="00C46802">
              <w:rPr>
                <w:rFonts w:ascii="微軟正黑體" w:eastAsia="微軟正黑體" w:hAnsi="微軟正黑體" w:hint="eastAsia"/>
                <w:sz w:val="24"/>
                <w:szCs w:val="24"/>
                <w:shd w:val="clear" w:color="auto" w:fill="FFFFFF"/>
              </w:rPr>
              <w:t>制定一個人工智慧治理框架，以減輕潛在風險，並最大限度的提高技術效益</w:t>
            </w:r>
            <w:r w:rsidR="00345BD0" w:rsidRPr="00C46802">
              <w:rPr>
                <w:rFonts w:ascii="微軟正黑體" w:eastAsia="微軟正黑體" w:hAnsi="微軟正黑體" w:cs="PMingLiu"/>
                <w:sz w:val="24"/>
                <w:szCs w:val="24"/>
              </w:rPr>
              <w:t xml:space="preserve"> </w:t>
            </w:r>
            <w:r w:rsidRPr="00C46802">
              <w:rPr>
                <w:rFonts w:ascii="微軟正黑體" w:eastAsia="微軟正黑體" w:hAnsi="微軟正黑體" w:cs="PMingLiu" w:hint="eastAsia"/>
                <w:sz w:val="24"/>
                <w:szCs w:val="24"/>
              </w:rPr>
              <w:t>。</w:t>
            </w:r>
          </w:p>
        </w:tc>
      </w:tr>
      <w:tr w:rsidR="0077267E">
        <w:trPr>
          <w:cantSplit/>
          <w:trHeight w:val="1260"/>
        </w:trPr>
        <w:tc>
          <w:tcPr>
            <w:tcW w:w="9272" w:type="dxa"/>
            <w:gridSpan w:val="3"/>
            <w:vAlign w:val="center"/>
          </w:tcPr>
          <w:p w:rsidR="0077267E" w:rsidRDefault="008A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9" w:hanging="980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備註：一、研習紀錄內容請用電腦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繕</w:t>
            </w:r>
            <w:proofErr w:type="gramEnd"/>
            <w:r>
              <w:rPr>
                <w:rFonts w:ascii="PMingLiu" w:eastAsia="PMingLiu" w:hAnsi="PMingLiu" w:cs="PMingLiu"/>
                <w:color w:val="000000"/>
              </w:rPr>
              <w:t>打。</w:t>
            </w:r>
          </w:p>
          <w:p w:rsidR="0077267E" w:rsidRDefault="008A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7" w:hanging="390"/>
              <w:jc w:val="both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</w:rPr>
              <w:t>二、</w:t>
            </w:r>
            <w:r>
              <w:rPr>
                <w:rFonts w:ascii="Gungsuh" w:eastAsia="Gungsuh" w:hAnsi="Gungsuh" w:cs="Gungsuh"/>
                <w:color w:val="000000"/>
              </w:rPr>
              <w:t>研習紀錄請先上傳</w:t>
            </w:r>
            <w:proofErr w:type="gramStart"/>
            <w:r>
              <w:rPr>
                <w:rFonts w:ascii="Gungsuh" w:eastAsia="Gungsuh" w:hAnsi="Gungsuh" w:cs="Gungsuh"/>
                <w:color w:val="000000"/>
              </w:rPr>
              <w:t>（</w:t>
            </w:r>
            <w:proofErr w:type="gramEnd"/>
            <w:r>
              <w:rPr>
                <w:rFonts w:ascii="Gungsuh" w:eastAsia="Gungsuh" w:hAnsi="Gungsuh" w:cs="Gungsuh"/>
                <w:color w:val="000000"/>
              </w:rPr>
              <w:t>校園入口網</w:t>
            </w:r>
            <w:r>
              <w:rPr>
                <w:rFonts w:ascii="Wingdings" w:eastAsia="Wingdings" w:hAnsi="Wingdings" w:cs="Wingdings"/>
                <w:color w:val="000000"/>
              </w:rPr>
              <w:t>🡪</w:t>
            </w:r>
            <w:r>
              <w:rPr>
                <w:rFonts w:ascii="Gungsuh" w:eastAsia="Gungsuh" w:hAnsi="Gungsuh" w:cs="Gungsuh"/>
                <w:color w:val="000000"/>
              </w:rPr>
              <w:t>其他類E話系統</w:t>
            </w:r>
            <w:r>
              <w:rPr>
                <w:rFonts w:ascii="Wingdings" w:eastAsia="Wingdings" w:hAnsi="Wingdings" w:cs="Wingdings"/>
                <w:color w:val="000000"/>
              </w:rPr>
              <w:t>🡪</w:t>
            </w:r>
            <w:r>
              <w:rPr>
                <w:rFonts w:ascii="Gungsuh" w:eastAsia="Gungsuh" w:hAnsi="Gungsuh" w:cs="Gungsuh"/>
                <w:color w:val="000000"/>
              </w:rPr>
              <w:t>研討會心得上傳</w:t>
            </w:r>
            <w:r>
              <w:rPr>
                <w:rFonts w:ascii="MingLiu" w:eastAsia="MingLiu" w:hAnsi="MingLiu" w:cs="MingLiu"/>
                <w:color w:val="000000"/>
              </w:rPr>
              <w:t>），</w:t>
            </w:r>
            <w:r>
              <w:rPr>
                <w:rFonts w:ascii="Gungsuh" w:eastAsia="Gungsuh" w:hAnsi="Gungsuh" w:cs="Gungsuh"/>
                <w:color w:val="000000"/>
              </w:rPr>
              <w:t>連同</w:t>
            </w:r>
            <w:r>
              <w:rPr>
                <w:rFonts w:ascii="PMingLiu" w:eastAsia="PMingLiu" w:hAnsi="PMingLiu" w:cs="PMingLiu"/>
                <w:color w:val="000000"/>
              </w:rPr>
              <w:t>補</w:t>
            </w:r>
            <w:r>
              <w:rPr>
                <w:rFonts w:ascii="MingLiu" w:eastAsia="MingLiu" w:hAnsi="MingLiu" w:cs="MingLiu"/>
                <w:color w:val="000000"/>
              </w:rPr>
              <w:t>助教師舉辦校內研習申請表及研</w:t>
            </w:r>
            <w:r>
              <w:rPr>
                <w:rFonts w:ascii="PMingLiu" w:eastAsia="PMingLiu" w:hAnsi="PMingLiu" w:cs="PMingLiu"/>
                <w:color w:val="000000"/>
              </w:rPr>
              <w:t>習相關資料影本</w:t>
            </w:r>
            <w:r>
              <w:rPr>
                <w:rFonts w:ascii="Gungsuh" w:eastAsia="Gungsuh" w:hAnsi="Gungsuh" w:cs="Gungsuh"/>
                <w:color w:val="000000"/>
              </w:rPr>
              <w:t>，並經單位主管簽章後，送人事室核銷。</w:t>
            </w:r>
          </w:p>
        </w:tc>
      </w:tr>
      <w:tr w:rsidR="0077267E">
        <w:trPr>
          <w:cantSplit/>
          <w:trHeight w:val="471"/>
        </w:trPr>
        <w:tc>
          <w:tcPr>
            <w:tcW w:w="3090" w:type="dxa"/>
            <w:vAlign w:val="center"/>
          </w:tcPr>
          <w:p w:rsidR="0077267E" w:rsidRDefault="008A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4"/>
              <w:jc w:val="center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記錄者簽章</w:t>
            </w:r>
          </w:p>
        </w:tc>
        <w:tc>
          <w:tcPr>
            <w:tcW w:w="3091" w:type="dxa"/>
            <w:vAlign w:val="center"/>
          </w:tcPr>
          <w:p w:rsidR="0077267E" w:rsidRDefault="008A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單位主管簽章</w:t>
            </w:r>
          </w:p>
        </w:tc>
        <w:tc>
          <w:tcPr>
            <w:tcW w:w="3091" w:type="dxa"/>
            <w:vAlign w:val="center"/>
          </w:tcPr>
          <w:p w:rsidR="0077267E" w:rsidRDefault="008A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人事室主任簽章</w:t>
            </w:r>
          </w:p>
        </w:tc>
      </w:tr>
      <w:tr w:rsidR="0077267E">
        <w:trPr>
          <w:cantSplit/>
          <w:trHeight w:val="1016"/>
        </w:trPr>
        <w:tc>
          <w:tcPr>
            <w:tcW w:w="3090" w:type="dxa"/>
            <w:vAlign w:val="center"/>
          </w:tcPr>
          <w:p w:rsidR="0077267E" w:rsidRPr="00A11344" w:rsidRDefault="0077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4"/>
              <w:jc w:val="center"/>
              <w:rPr>
                <w:rFonts w:ascii="PMingLiu" w:hAnsi="PMingLiu" w:cs="PMingLiu" w:hint="eastAsia"/>
                <w:color w:val="000000"/>
                <w:sz w:val="18"/>
                <w:szCs w:val="18"/>
              </w:rPr>
            </w:pPr>
          </w:p>
          <w:p w:rsidR="0077267E" w:rsidRDefault="0077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4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  <w:p w:rsidR="0077267E" w:rsidRDefault="0077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4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  <w:p w:rsidR="0077267E" w:rsidRDefault="0077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4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  <w:p w:rsidR="0077267E" w:rsidRDefault="00A11344" w:rsidP="00A11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4"/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PMingLiu" w:hint="eastAsia"/>
                <w:color w:val="000000"/>
                <w:sz w:val="18"/>
                <w:szCs w:val="18"/>
              </w:rPr>
              <w:t>１１３</w:t>
            </w:r>
            <w:r w:rsidR="008A13AE"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年</w:t>
            </w:r>
            <w:proofErr w:type="gramStart"/>
            <w:r>
              <w:rPr>
                <w:rFonts w:asciiTheme="minorEastAsia" w:hAnsiTheme="minorEastAsia" w:cs="PMingLiu" w:hint="eastAsia"/>
                <w:color w:val="000000"/>
                <w:sz w:val="18"/>
                <w:szCs w:val="18"/>
              </w:rPr>
              <w:t>６</w:t>
            </w:r>
            <w:proofErr w:type="gramEnd"/>
            <w:r w:rsidR="008A13AE"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１４</w:t>
            </w:r>
            <w:r w:rsidR="008A13AE"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091" w:type="dxa"/>
            <w:vAlign w:val="center"/>
          </w:tcPr>
          <w:p w:rsidR="0077267E" w:rsidRDefault="0077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  <w:p w:rsidR="0077267E" w:rsidRDefault="0077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  <w:p w:rsidR="0077267E" w:rsidRDefault="0077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  <w:p w:rsidR="0077267E" w:rsidRDefault="0077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  <w:p w:rsidR="0077267E" w:rsidRDefault="008A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年     月     日</w:t>
            </w:r>
          </w:p>
        </w:tc>
        <w:tc>
          <w:tcPr>
            <w:tcW w:w="3091" w:type="dxa"/>
            <w:vAlign w:val="center"/>
          </w:tcPr>
          <w:p w:rsidR="0077267E" w:rsidRDefault="0077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  <w:p w:rsidR="0077267E" w:rsidRDefault="0077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  <w:p w:rsidR="0077267E" w:rsidRDefault="0077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  <w:p w:rsidR="0077267E" w:rsidRDefault="0077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  <w:p w:rsidR="0077267E" w:rsidRDefault="008A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年     月     日</w:t>
            </w:r>
          </w:p>
        </w:tc>
      </w:tr>
    </w:tbl>
    <w:p w:rsidR="0077267E" w:rsidRDefault="0077267E" w:rsidP="00DF3E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rPr>
          <w:color w:val="000000"/>
          <w:sz w:val="24"/>
          <w:szCs w:val="24"/>
        </w:rPr>
      </w:pPr>
      <w:bookmarkStart w:id="0" w:name="_GoBack"/>
      <w:bookmarkEnd w:id="0"/>
    </w:p>
    <w:sectPr w:rsidR="0077267E">
      <w:pgSz w:w="11906" w:h="16838"/>
      <w:pgMar w:top="540" w:right="1106" w:bottom="567" w:left="126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7E"/>
    <w:rsid w:val="00191CC6"/>
    <w:rsid w:val="00317BF7"/>
    <w:rsid w:val="00345BD0"/>
    <w:rsid w:val="004115FA"/>
    <w:rsid w:val="00481662"/>
    <w:rsid w:val="004B4679"/>
    <w:rsid w:val="00553109"/>
    <w:rsid w:val="00640144"/>
    <w:rsid w:val="006C4161"/>
    <w:rsid w:val="006C6236"/>
    <w:rsid w:val="0077267E"/>
    <w:rsid w:val="008A13AE"/>
    <w:rsid w:val="00A11344"/>
    <w:rsid w:val="00B93C32"/>
    <w:rsid w:val="00C46802"/>
    <w:rsid w:val="00D5505D"/>
    <w:rsid w:val="00DF3E3D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7971"/>
  <w15:docId w15:val="{B96C730F-B890-41F9-9222-E82A92C5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3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31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許文玲</cp:lastModifiedBy>
  <cp:revision>3</cp:revision>
  <cp:lastPrinted>2024-06-18T01:43:00Z</cp:lastPrinted>
  <dcterms:created xsi:type="dcterms:W3CDTF">2024-06-18T03:37:00Z</dcterms:created>
  <dcterms:modified xsi:type="dcterms:W3CDTF">2024-06-18T03:38:00Z</dcterms:modified>
</cp:coreProperties>
</file>